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6244E" w14:textId="25767E01" w:rsidR="005F0731" w:rsidRPr="000C6D2E" w:rsidRDefault="005F0731" w:rsidP="000C6D2E">
      <w:pPr>
        <w:jc w:val="center"/>
        <w:rPr>
          <w:rFonts w:ascii="Calibri" w:eastAsia="Calibri" w:hAnsi="Calibri" w:cs="Times New Roman"/>
          <w:b/>
          <w:bCs/>
        </w:rPr>
      </w:pPr>
      <w:r w:rsidRPr="005F0731">
        <w:rPr>
          <w:b/>
          <w:bCs/>
        </w:rPr>
        <w:t>Sažetak za javni uvid</w:t>
      </w:r>
    </w:p>
    <w:p w14:paraId="0BF8BAA0" w14:textId="77777777" w:rsidR="00F55281" w:rsidRDefault="00F55281" w:rsidP="005F0731">
      <w:pPr>
        <w:pStyle w:val="Bezproreda"/>
        <w:jc w:val="center"/>
        <w:rPr>
          <w:b/>
          <w:bCs/>
        </w:rPr>
      </w:pPr>
    </w:p>
    <w:p w14:paraId="383C378C" w14:textId="77777777" w:rsidR="00F55281" w:rsidRPr="005F0731" w:rsidRDefault="00F55281" w:rsidP="005F0731">
      <w:pPr>
        <w:pStyle w:val="Bezproreda"/>
        <w:jc w:val="center"/>
        <w:rPr>
          <w:rFonts w:cs="Calibri"/>
          <w:b/>
          <w:bCs/>
          <w:color w:val="244061"/>
          <w:sz w:val="20"/>
          <w:szCs w:val="20"/>
        </w:rPr>
      </w:pPr>
    </w:p>
    <w:p w14:paraId="473FDE21" w14:textId="77777777" w:rsidR="00F55281" w:rsidRPr="00F55281" w:rsidRDefault="00F55281" w:rsidP="00F55281">
      <w:pPr>
        <w:pStyle w:val="mojTekst"/>
        <w:rPr>
          <w:rFonts w:asciiTheme="minorHAnsi" w:hAnsiTheme="minorHAnsi" w:cstheme="minorHAnsi"/>
        </w:rPr>
      </w:pPr>
      <w:r w:rsidRPr="00F55281">
        <w:rPr>
          <w:rFonts w:asciiTheme="minorHAnsi" w:hAnsiTheme="minorHAnsi" w:cstheme="minorHAnsi"/>
        </w:rPr>
        <w:t>U dokumentu „Izvještaj o mjerenju kvalitete zraka na lokaciji Međunarodne zračne luke Zagreb (Izvještaj za 2024. godinu)“ na temelju kontinuiranih mjerenja</w:t>
      </w:r>
      <w:r w:rsidRPr="00F55281" w:rsidDel="00CE23A0">
        <w:rPr>
          <w:rFonts w:asciiTheme="minorHAnsi" w:hAnsiTheme="minorHAnsi" w:cstheme="minorHAnsi"/>
        </w:rPr>
        <w:t xml:space="preserve"> </w:t>
      </w:r>
      <w:r w:rsidRPr="00F55281">
        <w:rPr>
          <w:rFonts w:asciiTheme="minorHAnsi" w:hAnsiTheme="minorHAnsi" w:cstheme="minorHAnsi"/>
        </w:rPr>
        <w:t>utvrđeno je prekoračenje granične vrijednosti za lebdeće čestice PM</w:t>
      </w:r>
      <w:r w:rsidRPr="00F55281">
        <w:rPr>
          <w:rFonts w:asciiTheme="minorHAnsi" w:hAnsiTheme="minorHAnsi" w:cstheme="minorHAnsi"/>
          <w:vertAlign w:val="subscript"/>
        </w:rPr>
        <w:t>10</w:t>
      </w:r>
      <w:r w:rsidRPr="00F55281">
        <w:rPr>
          <w:rFonts w:asciiTheme="minorHAnsi" w:hAnsiTheme="minorHAnsi" w:cstheme="minorHAnsi"/>
        </w:rPr>
        <w:t xml:space="preserve"> dok je na temelju indikativnih mjerenja utvrđeno prekoračenje ciljne vrijednosti za </w:t>
      </w:r>
      <w:proofErr w:type="spellStart"/>
      <w:r w:rsidRPr="00F55281">
        <w:rPr>
          <w:rFonts w:asciiTheme="minorHAnsi" w:hAnsiTheme="minorHAnsi" w:cstheme="minorHAnsi"/>
        </w:rPr>
        <w:t>benzo</w:t>
      </w:r>
      <w:proofErr w:type="spellEnd"/>
      <w:r w:rsidRPr="00F55281">
        <w:rPr>
          <w:rFonts w:asciiTheme="minorHAnsi" w:hAnsiTheme="minorHAnsi" w:cstheme="minorHAnsi"/>
        </w:rPr>
        <w:t>(a)piren u PM</w:t>
      </w:r>
      <w:r w:rsidRPr="00F55281">
        <w:rPr>
          <w:rFonts w:asciiTheme="minorHAnsi" w:hAnsiTheme="minorHAnsi" w:cstheme="minorHAnsi"/>
          <w:vertAlign w:val="subscript"/>
        </w:rPr>
        <w:t>10</w:t>
      </w:r>
      <w:r w:rsidRPr="00F55281">
        <w:rPr>
          <w:rFonts w:asciiTheme="minorHAnsi" w:hAnsiTheme="minorHAnsi" w:cstheme="minorHAnsi"/>
        </w:rPr>
        <w:t xml:space="preserve">. </w:t>
      </w:r>
    </w:p>
    <w:p w14:paraId="783976FF" w14:textId="77777777" w:rsidR="00F55281" w:rsidRPr="00F55281" w:rsidRDefault="00F55281" w:rsidP="00F55281">
      <w:pPr>
        <w:pStyle w:val="mojTekst"/>
        <w:rPr>
          <w:rFonts w:asciiTheme="minorHAnsi" w:hAnsiTheme="minorHAnsi" w:cstheme="minorHAnsi"/>
          <w:lang w:eastAsia="en-US"/>
        </w:rPr>
      </w:pPr>
    </w:p>
    <w:p w14:paraId="131C1EC3" w14:textId="16F13059" w:rsidR="00F55281" w:rsidRPr="00F55281" w:rsidRDefault="00F55281" w:rsidP="00F55281">
      <w:pPr>
        <w:pStyle w:val="mojTekst"/>
        <w:rPr>
          <w:rFonts w:asciiTheme="minorHAnsi" w:hAnsiTheme="minorHAnsi" w:cstheme="minorHAnsi"/>
          <w:shd w:val="clear" w:color="auto" w:fill="FFFFFF"/>
        </w:rPr>
      </w:pPr>
      <w:r w:rsidRPr="00F55281">
        <w:rPr>
          <w:rFonts w:asciiTheme="minorHAnsi" w:hAnsiTheme="minorHAnsi" w:cstheme="minorHAnsi"/>
        </w:rPr>
        <w:t>Prema utvrđenom prekoračenju granične vrijednosti za dnevne koncentracije lebdećih čestica PM</w:t>
      </w:r>
      <w:r w:rsidRPr="00F55281">
        <w:rPr>
          <w:rFonts w:asciiTheme="minorHAnsi" w:hAnsiTheme="minorHAnsi" w:cstheme="minorHAnsi"/>
          <w:vertAlign w:val="subscript"/>
        </w:rPr>
        <w:t>10</w:t>
      </w:r>
      <w:r w:rsidRPr="00F55281">
        <w:rPr>
          <w:rFonts w:asciiTheme="minorHAnsi" w:hAnsiTheme="minorHAnsi" w:cstheme="minorHAnsi"/>
        </w:rPr>
        <w:t xml:space="preserve"> i prekoračenju ciljne vrijednosti za </w:t>
      </w:r>
      <w:proofErr w:type="spellStart"/>
      <w:r w:rsidRPr="00F55281">
        <w:rPr>
          <w:rFonts w:asciiTheme="minorHAnsi" w:hAnsiTheme="minorHAnsi" w:cstheme="minorHAnsi"/>
        </w:rPr>
        <w:t>benzo</w:t>
      </w:r>
      <w:proofErr w:type="spellEnd"/>
      <w:r w:rsidRPr="00F55281">
        <w:rPr>
          <w:rFonts w:asciiTheme="minorHAnsi" w:hAnsiTheme="minorHAnsi" w:cstheme="minorHAnsi"/>
        </w:rPr>
        <w:t>(a)piren u PM</w:t>
      </w:r>
      <w:r w:rsidRPr="00F55281">
        <w:rPr>
          <w:rFonts w:asciiTheme="minorHAnsi" w:hAnsiTheme="minorHAnsi" w:cstheme="minorHAnsi"/>
          <w:vertAlign w:val="subscript"/>
        </w:rPr>
        <w:t>10</w:t>
      </w:r>
      <w:r w:rsidRPr="00F55281">
        <w:rPr>
          <w:rFonts w:asciiTheme="minorHAnsi" w:hAnsiTheme="minorHAnsi" w:cstheme="minorHAnsi"/>
        </w:rPr>
        <w:t xml:space="preserve"> u 2024. godini na mjernoj postaji Međunarodna zračna luka Zagreb, Grad Velika Gorica dužan je izraditi i donijeti akcijski plan za poboljšanje kvalitete zraka</w:t>
      </w:r>
      <w:r w:rsidR="001C48A4">
        <w:rPr>
          <w:rFonts w:asciiTheme="minorHAnsi" w:hAnsiTheme="minorHAnsi" w:cstheme="minorHAnsi"/>
          <w:shd w:val="clear" w:color="auto" w:fill="FFFFFF"/>
        </w:rPr>
        <w:t xml:space="preserve"> sukladno </w:t>
      </w:r>
      <w:r w:rsidR="001C48A4" w:rsidRPr="001C48A4">
        <w:rPr>
          <w:rFonts w:asciiTheme="minorHAnsi" w:hAnsiTheme="minorHAnsi" w:cstheme="minorHAnsi"/>
          <w:shd w:val="clear" w:color="auto" w:fill="FFFFFF"/>
        </w:rPr>
        <w:t>Zakon</w:t>
      </w:r>
      <w:r w:rsidR="001C48A4">
        <w:rPr>
          <w:rFonts w:asciiTheme="minorHAnsi" w:hAnsiTheme="minorHAnsi" w:cstheme="minorHAnsi"/>
          <w:shd w:val="clear" w:color="auto" w:fill="FFFFFF"/>
        </w:rPr>
        <w:t>u</w:t>
      </w:r>
      <w:r w:rsidR="001C48A4" w:rsidRPr="001C48A4">
        <w:rPr>
          <w:rFonts w:asciiTheme="minorHAnsi" w:hAnsiTheme="minorHAnsi" w:cstheme="minorHAnsi"/>
          <w:shd w:val="clear" w:color="auto" w:fill="FFFFFF"/>
        </w:rPr>
        <w:t xml:space="preserve"> o zaštiti zraka (NN 127/19, 57/22, 136/24)</w:t>
      </w:r>
      <w:r w:rsidR="001C48A4">
        <w:rPr>
          <w:rFonts w:asciiTheme="minorHAnsi" w:hAnsiTheme="minorHAnsi" w:cstheme="minorHAnsi"/>
          <w:shd w:val="clear" w:color="auto" w:fill="FFFFFF"/>
        </w:rPr>
        <w:t>.</w:t>
      </w:r>
    </w:p>
    <w:p w14:paraId="38D4DBC2" w14:textId="77777777" w:rsidR="00F55281" w:rsidRPr="00F55281" w:rsidRDefault="00F55281" w:rsidP="00F55281">
      <w:pPr>
        <w:pStyle w:val="mojTekst"/>
        <w:rPr>
          <w:rFonts w:asciiTheme="minorHAnsi" w:hAnsiTheme="minorHAnsi" w:cstheme="minorHAnsi"/>
        </w:rPr>
      </w:pPr>
    </w:p>
    <w:p w14:paraId="58FF6ECD" w14:textId="77777777" w:rsidR="00F55281" w:rsidRPr="00F55281" w:rsidRDefault="00F55281" w:rsidP="00F55281">
      <w:pPr>
        <w:pStyle w:val="mojTekst"/>
        <w:rPr>
          <w:rFonts w:asciiTheme="minorHAnsi" w:hAnsiTheme="minorHAnsi" w:cstheme="minorHAnsi"/>
        </w:rPr>
      </w:pPr>
      <w:r w:rsidRPr="00F55281">
        <w:rPr>
          <w:rFonts w:asciiTheme="minorHAnsi" w:hAnsiTheme="minorHAnsi" w:cstheme="minorHAnsi"/>
        </w:rPr>
        <w:t xml:space="preserve">Izradu ovog akcijskog plana poboljšanja kvalitete zraka osiguralo je nadležno upravno tijelo za zaštitu okoliša Grada Velike Gorice - Upravni odjel za prostorno planiranje, graditeljstvo i zaštitu okoliša. Stručnu podlogu izradio je ovlaštenik EKONERG - Institut za energetiku i zaštitu okoliša d.o.o. iz Zagreba, Koranska 5. </w:t>
      </w:r>
    </w:p>
    <w:p w14:paraId="5A4A99B2" w14:textId="77777777" w:rsidR="00F55281" w:rsidRPr="00F55281" w:rsidRDefault="00F55281" w:rsidP="00F55281">
      <w:pPr>
        <w:pStyle w:val="mojTekst"/>
        <w:rPr>
          <w:rFonts w:asciiTheme="minorHAnsi" w:hAnsiTheme="minorHAnsi" w:cstheme="minorHAnsi"/>
        </w:rPr>
      </w:pPr>
    </w:p>
    <w:p w14:paraId="0D50C0D5" w14:textId="5F87A52F" w:rsidR="00F55281" w:rsidRPr="00F55281" w:rsidRDefault="00F55281" w:rsidP="00F55281">
      <w:pPr>
        <w:pStyle w:val="mojTekst"/>
        <w:rPr>
          <w:rFonts w:cstheme="minorHAnsi"/>
        </w:rPr>
      </w:pPr>
      <w:r>
        <w:rPr>
          <w:rFonts w:asciiTheme="minorHAnsi" w:hAnsiTheme="minorHAnsi" w:cstheme="minorHAnsi"/>
        </w:rPr>
        <w:t>Sukladno sadržaju propisanom</w:t>
      </w:r>
      <w:r w:rsidRPr="00F55281">
        <w:rPr>
          <w:rFonts w:asciiTheme="minorHAnsi" w:hAnsiTheme="minorHAnsi" w:cstheme="minorHAnsi"/>
        </w:rPr>
        <w:t xml:space="preserve"> Prilog</w:t>
      </w:r>
      <w:r>
        <w:rPr>
          <w:rFonts w:asciiTheme="minorHAnsi" w:hAnsiTheme="minorHAnsi" w:cstheme="minorHAnsi"/>
        </w:rPr>
        <w:t>om</w:t>
      </w:r>
      <w:r w:rsidRPr="00F55281">
        <w:rPr>
          <w:rFonts w:asciiTheme="minorHAnsi" w:hAnsiTheme="minorHAnsi" w:cstheme="minorHAnsi"/>
        </w:rPr>
        <w:t xml:space="preserve"> I. </w:t>
      </w:r>
      <w:r w:rsidR="001C48A4" w:rsidRPr="00F55281">
        <w:rPr>
          <w:rFonts w:asciiTheme="minorHAnsi" w:hAnsiTheme="minorHAnsi" w:cstheme="minorHAnsi"/>
        </w:rPr>
        <w:t>Pravilnik</w:t>
      </w:r>
      <w:r w:rsidR="001C48A4">
        <w:rPr>
          <w:rFonts w:asciiTheme="minorHAnsi" w:hAnsiTheme="minorHAnsi" w:cstheme="minorHAnsi"/>
        </w:rPr>
        <w:t>a</w:t>
      </w:r>
      <w:r w:rsidR="001C48A4" w:rsidRPr="00F55281">
        <w:rPr>
          <w:rFonts w:asciiTheme="minorHAnsi" w:hAnsiTheme="minorHAnsi" w:cstheme="minorHAnsi"/>
        </w:rPr>
        <w:t xml:space="preserve"> o sadržaju, formatu i postupku donošenja akcijskog plana za poboljšanje kvalitete zraka te uzajamnoj razmjeni informacija i izvješćivanju o kvaliteti zraka i obvezama za provedbu Odluke Komisije 2011/850/EU (NN 26/23)</w:t>
      </w:r>
      <w:r>
        <w:rPr>
          <w:rFonts w:asciiTheme="minorHAnsi" w:hAnsiTheme="minorHAnsi" w:cstheme="minorHAnsi"/>
        </w:rPr>
        <w:t xml:space="preserve"> ovaj akcijski plan sadrži:</w:t>
      </w:r>
    </w:p>
    <w:p w14:paraId="08E78D93" w14:textId="77777777" w:rsidR="00F55281" w:rsidRPr="00F55281" w:rsidRDefault="00F55281" w:rsidP="00F55281">
      <w:pPr>
        <w:pStyle w:val="Odlomakpopisa"/>
        <w:numPr>
          <w:ilvl w:val="0"/>
          <w:numId w:val="1"/>
        </w:numPr>
        <w:jc w:val="both"/>
        <w:rPr>
          <w:rFonts w:cstheme="minorHAnsi"/>
        </w:rPr>
      </w:pPr>
      <w:r w:rsidRPr="00F55281">
        <w:rPr>
          <w:rFonts w:cstheme="minorHAnsi"/>
        </w:rPr>
        <w:t>Lokaliziranje prekomjernog onečišćenja</w:t>
      </w:r>
    </w:p>
    <w:p w14:paraId="6BB5EC76" w14:textId="19E53323" w:rsidR="00F55281" w:rsidRPr="00F55281" w:rsidRDefault="00F55281" w:rsidP="00F55281">
      <w:pPr>
        <w:pStyle w:val="Odlomakpopisa"/>
        <w:numPr>
          <w:ilvl w:val="0"/>
          <w:numId w:val="1"/>
        </w:numPr>
        <w:jc w:val="both"/>
        <w:rPr>
          <w:rFonts w:cstheme="minorHAnsi"/>
        </w:rPr>
      </w:pPr>
      <w:r w:rsidRPr="00F55281">
        <w:rPr>
          <w:rFonts w:cstheme="minorHAnsi"/>
        </w:rPr>
        <w:t>Opće informacije</w:t>
      </w:r>
    </w:p>
    <w:p w14:paraId="3D3D5EA2" w14:textId="77777777" w:rsidR="00F55281" w:rsidRPr="00F55281" w:rsidRDefault="00F55281" w:rsidP="00F55281">
      <w:pPr>
        <w:pStyle w:val="Odlomakpopisa"/>
        <w:numPr>
          <w:ilvl w:val="0"/>
          <w:numId w:val="1"/>
        </w:numPr>
        <w:jc w:val="both"/>
        <w:rPr>
          <w:rFonts w:cstheme="minorHAnsi"/>
        </w:rPr>
      </w:pPr>
      <w:r w:rsidRPr="00F55281">
        <w:rPr>
          <w:rFonts w:cstheme="minorHAnsi"/>
        </w:rPr>
        <w:t>Odgovorna tijela</w:t>
      </w:r>
    </w:p>
    <w:p w14:paraId="766438C0" w14:textId="77777777" w:rsidR="00F55281" w:rsidRPr="00F55281" w:rsidRDefault="00F55281" w:rsidP="00F55281">
      <w:pPr>
        <w:pStyle w:val="Odlomakpopisa"/>
        <w:numPr>
          <w:ilvl w:val="0"/>
          <w:numId w:val="1"/>
        </w:numPr>
        <w:jc w:val="both"/>
        <w:rPr>
          <w:rFonts w:cstheme="minorHAnsi"/>
        </w:rPr>
      </w:pPr>
      <w:r w:rsidRPr="00F55281">
        <w:rPr>
          <w:rFonts w:cstheme="minorHAnsi"/>
        </w:rPr>
        <w:t>Priroda i procjena onečišćenja</w:t>
      </w:r>
    </w:p>
    <w:p w14:paraId="7DE21E06" w14:textId="77777777" w:rsidR="00F55281" w:rsidRPr="00F55281" w:rsidRDefault="00F55281" w:rsidP="00F55281">
      <w:pPr>
        <w:pStyle w:val="Odlomakpopisa"/>
        <w:numPr>
          <w:ilvl w:val="0"/>
          <w:numId w:val="1"/>
        </w:numPr>
        <w:jc w:val="both"/>
        <w:rPr>
          <w:rFonts w:cstheme="minorHAnsi"/>
        </w:rPr>
      </w:pPr>
      <w:r w:rsidRPr="00F55281">
        <w:rPr>
          <w:rFonts w:cstheme="minorHAnsi"/>
        </w:rPr>
        <w:t>Porijeklo onečišćenja</w:t>
      </w:r>
    </w:p>
    <w:p w14:paraId="66A6CB2E" w14:textId="77777777" w:rsidR="00F55281" w:rsidRPr="00F55281" w:rsidRDefault="00F55281" w:rsidP="00F55281">
      <w:pPr>
        <w:pStyle w:val="Odlomakpopisa"/>
        <w:numPr>
          <w:ilvl w:val="0"/>
          <w:numId w:val="1"/>
        </w:numPr>
        <w:jc w:val="both"/>
        <w:rPr>
          <w:rFonts w:cstheme="minorHAnsi"/>
        </w:rPr>
      </w:pPr>
      <w:r w:rsidRPr="00F55281">
        <w:rPr>
          <w:rFonts w:cstheme="minorHAnsi"/>
        </w:rPr>
        <w:t>Analiza situacije</w:t>
      </w:r>
    </w:p>
    <w:p w14:paraId="27CD9F6B" w14:textId="77777777" w:rsidR="00F55281" w:rsidRPr="00F55281" w:rsidRDefault="00F55281" w:rsidP="00F55281">
      <w:pPr>
        <w:pStyle w:val="Odlomakpopisa"/>
        <w:numPr>
          <w:ilvl w:val="0"/>
          <w:numId w:val="1"/>
        </w:numPr>
        <w:jc w:val="both"/>
        <w:rPr>
          <w:rFonts w:cstheme="minorHAnsi"/>
        </w:rPr>
      </w:pPr>
      <w:r w:rsidRPr="00F55281">
        <w:rPr>
          <w:rFonts w:cstheme="minorHAnsi"/>
        </w:rPr>
        <w:t>Detaljni podaci o onim mjerama ili projektima za poboljšanje kvalitete zraka koji su prethodili ovom akcijskom planu</w:t>
      </w:r>
    </w:p>
    <w:p w14:paraId="1669A171" w14:textId="77777777" w:rsidR="00F55281" w:rsidRPr="00F55281" w:rsidRDefault="00F55281" w:rsidP="00F55281">
      <w:pPr>
        <w:pStyle w:val="Odlomakpopisa"/>
        <w:numPr>
          <w:ilvl w:val="0"/>
          <w:numId w:val="1"/>
        </w:numPr>
        <w:jc w:val="both"/>
        <w:rPr>
          <w:rFonts w:cstheme="minorHAnsi"/>
        </w:rPr>
      </w:pPr>
      <w:r w:rsidRPr="00F55281">
        <w:rPr>
          <w:rFonts w:cstheme="minorHAnsi"/>
        </w:rPr>
        <w:t>Detaljni podaci o onim mjerama ili projektima koji su usvojeni s ciljem smanjenja onečišćenja, sukladno Zakonu o zaštiti zraka</w:t>
      </w:r>
    </w:p>
    <w:p w14:paraId="6D633028" w14:textId="77777777" w:rsidR="00F55281" w:rsidRPr="00F55281" w:rsidRDefault="00F55281" w:rsidP="00F55281">
      <w:pPr>
        <w:pStyle w:val="Odlomakpopisa"/>
        <w:numPr>
          <w:ilvl w:val="0"/>
          <w:numId w:val="1"/>
        </w:numPr>
        <w:jc w:val="both"/>
        <w:rPr>
          <w:rFonts w:cstheme="minorHAnsi"/>
        </w:rPr>
      </w:pPr>
      <w:r w:rsidRPr="00F55281">
        <w:rPr>
          <w:rFonts w:cstheme="minorHAnsi"/>
        </w:rPr>
        <w:t>Detaljni podaci o dugoročno planiranim ili istraživanim mjerama ili projektima</w:t>
      </w:r>
    </w:p>
    <w:p w14:paraId="113B7302" w14:textId="77777777" w:rsidR="00F55281" w:rsidRPr="00F55281" w:rsidRDefault="00F55281" w:rsidP="00F55281">
      <w:pPr>
        <w:pStyle w:val="Odlomakpopisa"/>
        <w:numPr>
          <w:ilvl w:val="0"/>
          <w:numId w:val="1"/>
        </w:numPr>
        <w:jc w:val="both"/>
        <w:rPr>
          <w:rFonts w:cstheme="minorHAnsi"/>
        </w:rPr>
      </w:pPr>
      <w:r w:rsidRPr="00F55281">
        <w:rPr>
          <w:rFonts w:cstheme="minorHAnsi"/>
        </w:rPr>
        <w:t>Popis publikacija, dokumenata, radova itd. koji su korišteni kao dopuna podacima koji se traže na temelju ovoga Priloga</w:t>
      </w:r>
    </w:p>
    <w:p w14:paraId="1D15CC15" w14:textId="30B7CC99" w:rsidR="00306517" w:rsidRDefault="00F55281" w:rsidP="00F55281">
      <w:pPr>
        <w:pStyle w:val="Odlomakpopisa"/>
        <w:numPr>
          <w:ilvl w:val="0"/>
          <w:numId w:val="1"/>
        </w:numPr>
        <w:jc w:val="both"/>
        <w:rPr>
          <w:rFonts w:cstheme="minorHAnsi"/>
        </w:rPr>
      </w:pPr>
      <w:r w:rsidRPr="00F55281">
        <w:rPr>
          <w:rFonts w:cstheme="minorHAnsi"/>
        </w:rPr>
        <w:t>Prilozi prema Pravilniku o sadržaju, formatu i postupku donošenja akcijskog plana za poboljšanje kvalitete zraka, te uzajamnoj razmjeni informacija i izvješćivanju o kvaliteti zraka i obvezama za provedbu Odluke Komisije 2011/850/EU</w:t>
      </w:r>
    </w:p>
    <w:p w14:paraId="0AB2B0E5" w14:textId="7C337445" w:rsidR="00F55281" w:rsidRDefault="00F55281" w:rsidP="001C48A4">
      <w:pPr>
        <w:jc w:val="both"/>
        <w:rPr>
          <w:rFonts w:cstheme="minorHAnsi"/>
        </w:rPr>
      </w:pPr>
      <w:r w:rsidRPr="00F55281">
        <w:rPr>
          <w:rFonts w:cstheme="minorHAnsi"/>
        </w:rPr>
        <w:t xml:space="preserve">Gravimetrijska mjerenja </w:t>
      </w:r>
      <w:r>
        <w:rPr>
          <w:rFonts w:cstheme="minorHAnsi"/>
        </w:rPr>
        <w:t xml:space="preserve">koncentracija lebdećih čestica </w:t>
      </w:r>
      <w:r w:rsidRPr="00F55281">
        <w:rPr>
          <w:rFonts w:cstheme="minorHAnsi"/>
        </w:rPr>
        <w:t>PM</w:t>
      </w:r>
      <w:r w:rsidRPr="00F55281">
        <w:rPr>
          <w:rFonts w:cstheme="minorHAnsi"/>
          <w:vertAlign w:val="subscript"/>
        </w:rPr>
        <w:t>10</w:t>
      </w:r>
      <w:r w:rsidRPr="00F55281">
        <w:rPr>
          <w:rFonts w:cstheme="minorHAnsi"/>
        </w:rPr>
        <w:t xml:space="preserve"> na mjernoj postaji Međunarodna zračna luka Zagreb provode se od svibnja 2016. godine. Tijekom promatranog razdoblja (2016.-2024.) nije zabilježeno prekoračenje granične vrijednosti za prosječnu godišnju koncentraciju PM</w:t>
      </w:r>
      <w:r w:rsidRPr="00F55281">
        <w:rPr>
          <w:rFonts w:cstheme="minorHAnsi"/>
          <w:vertAlign w:val="subscript"/>
        </w:rPr>
        <w:t>10</w:t>
      </w:r>
      <w:r w:rsidRPr="00F55281">
        <w:rPr>
          <w:rFonts w:cstheme="minorHAnsi"/>
        </w:rPr>
        <w:t xml:space="preserve">, no broj dana prekoračenja dnevne granične vrijednosti od 50 µg/m³ značajno se mijenjao iz godine u godinu. U godinama 2020., 2021. i 2023. broj dana prekoračenja bio je ispod dozvoljenih 35 dana godišnje, dok je u 2022. zabilježeno 36 dana, a u 2024. godini čak 41 dan prekoračenja, što je referentna godina za donošenje ovog akcijskog plana. Mjerenja </w:t>
      </w:r>
      <w:proofErr w:type="spellStart"/>
      <w:r w:rsidRPr="00F55281">
        <w:rPr>
          <w:rFonts w:cstheme="minorHAnsi"/>
        </w:rPr>
        <w:t>benzo</w:t>
      </w:r>
      <w:proofErr w:type="spellEnd"/>
      <w:r w:rsidRPr="00F55281">
        <w:rPr>
          <w:rFonts w:cstheme="minorHAnsi"/>
        </w:rPr>
        <w:t>(a)pirena (</w:t>
      </w:r>
      <w:proofErr w:type="spellStart"/>
      <w:r w:rsidRPr="00F55281">
        <w:rPr>
          <w:rFonts w:cstheme="minorHAnsi"/>
        </w:rPr>
        <w:t>BaP</w:t>
      </w:r>
      <w:proofErr w:type="spellEnd"/>
      <w:r w:rsidRPr="00F55281">
        <w:rPr>
          <w:rFonts w:cstheme="minorHAnsi"/>
        </w:rPr>
        <w:t>) u PM</w:t>
      </w:r>
      <w:r w:rsidRPr="00D712A6">
        <w:rPr>
          <w:rFonts w:cstheme="minorHAnsi"/>
          <w:vertAlign w:val="subscript"/>
        </w:rPr>
        <w:t>10</w:t>
      </w:r>
      <w:r w:rsidRPr="00F55281">
        <w:rPr>
          <w:rFonts w:cstheme="minorHAnsi"/>
        </w:rPr>
        <w:t xml:space="preserve"> provode se od 2016. godine, </w:t>
      </w:r>
      <w:r w:rsidRPr="00F55281">
        <w:rPr>
          <w:rFonts w:cstheme="minorHAnsi"/>
        </w:rPr>
        <w:lastRenderedPageBreak/>
        <w:t xml:space="preserve">indikativnom metodom s godišnjim obuhvatom od 33%, što je zadovoljavajuće za ocjenu sukladnosti. Prosječna godišnja koncentracija </w:t>
      </w:r>
      <w:proofErr w:type="spellStart"/>
      <w:r w:rsidRPr="00F55281">
        <w:rPr>
          <w:rFonts w:cstheme="minorHAnsi"/>
        </w:rPr>
        <w:t>BaP</w:t>
      </w:r>
      <w:proofErr w:type="spellEnd"/>
      <w:r w:rsidRPr="00F55281">
        <w:rPr>
          <w:rFonts w:cstheme="minorHAnsi"/>
        </w:rPr>
        <w:t xml:space="preserve"> u 2024. godini iznosila je 2,001 </w:t>
      </w:r>
      <w:proofErr w:type="spellStart"/>
      <w:r w:rsidRPr="00F55281">
        <w:rPr>
          <w:rFonts w:cstheme="minorHAnsi"/>
        </w:rPr>
        <w:t>ng</w:t>
      </w:r>
      <w:proofErr w:type="spellEnd"/>
      <w:r w:rsidRPr="00F55281">
        <w:rPr>
          <w:rFonts w:cstheme="minorHAnsi"/>
        </w:rPr>
        <w:t xml:space="preserve">/m³, što nakon zaokruživanja daje vrijednost 2 </w:t>
      </w:r>
      <w:proofErr w:type="spellStart"/>
      <w:r w:rsidRPr="00F55281">
        <w:rPr>
          <w:rFonts w:cstheme="minorHAnsi"/>
        </w:rPr>
        <w:t>ng</w:t>
      </w:r>
      <w:proofErr w:type="spellEnd"/>
      <w:r w:rsidRPr="00F55281">
        <w:rPr>
          <w:rFonts w:cstheme="minorHAnsi"/>
        </w:rPr>
        <w:t xml:space="preserve">/m³ i predstavlja prekoračenje ciljne vrijednosti od 1 </w:t>
      </w:r>
      <w:proofErr w:type="spellStart"/>
      <w:r w:rsidRPr="00F55281">
        <w:rPr>
          <w:rFonts w:cstheme="minorHAnsi"/>
        </w:rPr>
        <w:t>ng</w:t>
      </w:r>
      <w:proofErr w:type="spellEnd"/>
      <w:r w:rsidRPr="00F55281">
        <w:rPr>
          <w:rFonts w:cstheme="minorHAnsi"/>
        </w:rPr>
        <w:t xml:space="preserve">/m³. Prekoračenja ciljne vrijednosti za </w:t>
      </w:r>
      <w:proofErr w:type="spellStart"/>
      <w:r w:rsidRPr="00F55281">
        <w:rPr>
          <w:rFonts w:cstheme="minorHAnsi"/>
        </w:rPr>
        <w:t>BaP</w:t>
      </w:r>
      <w:proofErr w:type="spellEnd"/>
      <w:r w:rsidRPr="00F55281">
        <w:rPr>
          <w:rFonts w:cstheme="minorHAnsi"/>
        </w:rPr>
        <w:t xml:space="preserve"> u promatranom razdoblju nisu zabilježena samo u 2018. i 2023. godini. </w:t>
      </w:r>
    </w:p>
    <w:p w14:paraId="6481E21A" w14:textId="77777777" w:rsidR="00987C39" w:rsidRDefault="00F55281" w:rsidP="001C48A4">
      <w:pPr>
        <w:jc w:val="both"/>
        <w:rPr>
          <w:rFonts w:cstheme="minorHAnsi"/>
        </w:rPr>
      </w:pPr>
      <w:r w:rsidRPr="00F55281">
        <w:rPr>
          <w:rFonts w:cstheme="minorHAnsi"/>
        </w:rPr>
        <w:t xml:space="preserve">Onečišćenje zraka </w:t>
      </w:r>
      <w:r>
        <w:rPr>
          <w:rFonts w:cstheme="minorHAnsi"/>
        </w:rPr>
        <w:t xml:space="preserve">lebdećim </w:t>
      </w:r>
      <w:r w:rsidRPr="00F55281">
        <w:rPr>
          <w:rFonts w:cstheme="minorHAnsi"/>
        </w:rPr>
        <w:t>česticama PM</w:t>
      </w:r>
      <w:r w:rsidRPr="00F55281">
        <w:rPr>
          <w:rFonts w:cstheme="minorHAnsi"/>
          <w:vertAlign w:val="subscript"/>
        </w:rPr>
        <w:t>10</w:t>
      </w:r>
      <w:r w:rsidRPr="00F55281">
        <w:rPr>
          <w:rFonts w:cstheme="minorHAnsi"/>
        </w:rPr>
        <w:t xml:space="preserve"> na području Velike Gorice rezultat je složenog međuodnosa lokalnih emisija, meteoroloških uvjeta i prekograničnog transporta onečišćenja.</w:t>
      </w:r>
      <w:r w:rsidR="00406514">
        <w:rPr>
          <w:rFonts w:cstheme="minorHAnsi"/>
        </w:rPr>
        <w:t xml:space="preserve"> Lokalni izvori onečišćenja zraka identificirani su na temelju podataka Registra onečišćavanja okoliša i </w:t>
      </w:r>
      <w:r w:rsidR="00406514" w:rsidRPr="00406514">
        <w:rPr>
          <w:rFonts w:cstheme="minorHAnsi"/>
        </w:rPr>
        <w:t>Portala prostorne raspodjele emisija za 2023. godinu.</w:t>
      </w:r>
      <w:r w:rsidRPr="00F55281">
        <w:rPr>
          <w:rFonts w:cstheme="minorHAnsi"/>
        </w:rPr>
        <w:t xml:space="preserve"> </w:t>
      </w:r>
      <w:r w:rsidR="001E4758">
        <w:rPr>
          <w:rFonts w:cstheme="minorHAnsi"/>
        </w:rPr>
        <w:t xml:space="preserve">Za razlučivanje doprinosa izvora </w:t>
      </w:r>
      <w:r w:rsidR="00272333">
        <w:rPr>
          <w:rFonts w:cstheme="minorHAnsi"/>
        </w:rPr>
        <w:t xml:space="preserve">onečišćenja zraka korišteni su rezultati modeliranja </w:t>
      </w:r>
      <w:r w:rsidRPr="00F55281">
        <w:rPr>
          <w:rFonts w:cstheme="minorHAnsi"/>
        </w:rPr>
        <w:t>LOTOS-EUROS u rezoluciji 0,1 x 0,05 stupnja</w:t>
      </w:r>
      <w:r w:rsidR="00272333">
        <w:rPr>
          <w:rFonts w:cstheme="minorHAnsi"/>
        </w:rPr>
        <w:t xml:space="preserve"> koje je proveo </w:t>
      </w:r>
      <w:r w:rsidRPr="00F55281">
        <w:rPr>
          <w:rFonts w:cstheme="minorHAnsi"/>
        </w:rPr>
        <w:t>Državn</w:t>
      </w:r>
      <w:r w:rsidR="00272333">
        <w:rPr>
          <w:rFonts w:cstheme="minorHAnsi"/>
        </w:rPr>
        <w:t>i</w:t>
      </w:r>
      <w:r w:rsidRPr="00F55281">
        <w:rPr>
          <w:rFonts w:cstheme="minorHAnsi"/>
        </w:rPr>
        <w:t xml:space="preserve"> hidrometeorološk</w:t>
      </w:r>
      <w:r w:rsidR="00272333">
        <w:rPr>
          <w:rFonts w:cstheme="minorHAnsi"/>
        </w:rPr>
        <w:t>i</w:t>
      </w:r>
      <w:r w:rsidRPr="00F55281">
        <w:rPr>
          <w:rFonts w:cstheme="minorHAnsi"/>
        </w:rPr>
        <w:t xml:space="preserve"> zavod.</w:t>
      </w:r>
      <w:r w:rsidR="001E4758">
        <w:rPr>
          <w:rFonts w:cstheme="minorHAnsi"/>
        </w:rPr>
        <w:t xml:space="preserve"> </w:t>
      </w:r>
      <w:r w:rsidR="00987C39" w:rsidRPr="00272333">
        <w:rPr>
          <w:rFonts w:cstheme="minorHAnsi"/>
        </w:rPr>
        <w:t>Ograničenje primijenjene metode modeliranja jest nemogućnost razlučivanja doprinosa izvora s administrativnog područja Velike Gorice od ostalih izvora unutar aglomeracije HR ZG, što se odražava i na procjenu učinkovitosti predloženih lokalnih mjera.</w:t>
      </w:r>
    </w:p>
    <w:p w14:paraId="6A1FA1B9" w14:textId="40F5CBDA" w:rsidR="00987C39" w:rsidRDefault="00987C39" w:rsidP="001C48A4">
      <w:pPr>
        <w:jc w:val="both"/>
        <w:rPr>
          <w:rFonts w:cstheme="minorHAnsi"/>
        </w:rPr>
      </w:pPr>
      <w:r>
        <w:t xml:space="preserve">Na onečišćenje zraka na području Velike Gorice utječu emisije s područja </w:t>
      </w:r>
      <w:r w:rsidRPr="00803184">
        <w:t>aglomeracij</w:t>
      </w:r>
      <w:r>
        <w:t>e</w:t>
      </w:r>
      <w:r w:rsidRPr="00803184">
        <w:t xml:space="preserve"> Zagreb</w:t>
      </w:r>
      <w:r>
        <w:t xml:space="preserve"> (oznaka HR ZG)</w:t>
      </w:r>
      <w:r>
        <w:rPr>
          <w:rStyle w:val="Referencafusnote"/>
        </w:rPr>
        <w:footnoteReference w:id="1"/>
      </w:r>
      <w:r>
        <w:t xml:space="preserve">. </w:t>
      </w:r>
      <w:r w:rsidRPr="00987C39">
        <w:rPr>
          <w:rFonts w:cstheme="minorHAnsi"/>
        </w:rPr>
        <w:t>Ukupne godišnje emisije čestica PM</w:t>
      </w:r>
      <w:r w:rsidRPr="00987C39">
        <w:rPr>
          <w:rFonts w:cstheme="minorHAnsi"/>
          <w:vertAlign w:val="subscript"/>
        </w:rPr>
        <w:t>10</w:t>
      </w:r>
      <w:r w:rsidRPr="00987C39">
        <w:rPr>
          <w:rFonts w:cstheme="minorHAnsi"/>
        </w:rPr>
        <w:t xml:space="preserve"> na području aglomeracije HR ZG iznose 4.999,49 tona. Dominantna su tri sektora koja zajedno čine 90,8% ukupnih emisija: industrija (sektor B) s 45,3%, mala ložišta (sektor C) s 29,8% i energetika (sektor A) s 15,6%. Emisije sektora B pretežito potječu od građevinske djelatnosti, emisije sektora C gotovo u potpunosti od izgaranja biomase u kućnim ložištima, a emisije sektora A od termoelektrana i toplana.</w:t>
      </w:r>
      <w:r>
        <w:rPr>
          <w:rFonts w:cstheme="minorHAnsi"/>
        </w:rPr>
        <w:t xml:space="preserve"> </w:t>
      </w:r>
      <w:r w:rsidRPr="00987C39">
        <w:rPr>
          <w:rFonts w:cstheme="minorHAnsi"/>
        </w:rPr>
        <w:t xml:space="preserve">Za </w:t>
      </w:r>
      <w:proofErr w:type="spellStart"/>
      <w:r w:rsidRPr="00987C39">
        <w:rPr>
          <w:rFonts w:cstheme="minorHAnsi"/>
        </w:rPr>
        <w:t>policikličke</w:t>
      </w:r>
      <w:proofErr w:type="spellEnd"/>
      <w:r w:rsidRPr="00987C39">
        <w:rPr>
          <w:rFonts w:cstheme="minorHAnsi"/>
        </w:rPr>
        <w:t xml:space="preserve"> aromatske ugljikovodike (PAU), u koje spada i </w:t>
      </w:r>
      <w:proofErr w:type="spellStart"/>
      <w:r w:rsidRPr="00987C39">
        <w:rPr>
          <w:rFonts w:cstheme="minorHAnsi"/>
        </w:rPr>
        <w:t>benzo</w:t>
      </w:r>
      <w:proofErr w:type="spellEnd"/>
      <w:r w:rsidRPr="00987C39">
        <w:rPr>
          <w:rFonts w:cstheme="minorHAnsi"/>
        </w:rPr>
        <w:t xml:space="preserve">(a)piren, dominantan je sektor malih ložišta s udjelom od 87% na razini čitave aglomeracije, praktički isključivo kućna ložišta na biomasu. </w:t>
      </w:r>
    </w:p>
    <w:p w14:paraId="3654530D" w14:textId="77777777" w:rsidR="00B55C3C" w:rsidRDefault="00F55281" w:rsidP="001C48A4">
      <w:pPr>
        <w:jc w:val="both"/>
        <w:rPr>
          <w:rFonts w:cstheme="minorHAnsi"/>
        </w:rPr>
      </w:pPr>
      <w:r w:rsidRPr="00F55281">
        <w:rPr>
          <w:rFonts w:cstheme="minorHAnsi"/>
        </w:rPr>
        <w:t xml:space="preserve">Rezultati </w:t>
      </w:r>
      <w:r w:rsidR="00987C39" w:rsidRPr="00F55281">
        <w:rPr>
          <w:rFonts w:cstheme="minorHAnsi"/>
        </w:rPr>
        <w:t>LOTOS-EUROS</w:t>
      </w:r>
      <w:r w:rsidR="00987C39">
        <w:rPr>
          <w:rFonts w:cstheme="minorHAnsi"/>
        </w:rPr>
        <w:t xml:space="preserve"> modela</w:t>
      </w:r>
      <w:r w:rsidRPr="00F55281">
        <w:rPr>
          <w:rFonts w:cstheme="minorHAnsi"/>
        </w:rPr>
        <w:t xml:space="preserve"> za 2023. godinu pokazuju da na području Velike Gorice mala ložišta (sektor C) čine 34</w:t>
      </w:r>
      <w:r w:rsidR="00272333">
        <w:rPr>
          <w:rFonts w:cstheme="minorHAnsi"/>
        </w:rPr>
        <w:t> </w:t>
      </w:r>
      <w:r w:rsidRPr="00F55281">
        <w:rPr>
          <w:rFonts w:cstheme="minorHAnsi"/>
        </w:rPr>
        <w:t>% godišnje koncentracije PM</w:t>
      </w:r>
      <w:r w:rsidRPr="00272333">
        <w:rPr>
          <w:rFonts w:cstheme="minorHAnsi"/>
          <w:vertAlign w:val="subscript"/>
        </w:rPr>
        <w:t>10</w:t>
      </w:r>
      <w:r w:rsidRPr="00F55281">
        <w:rPr>
          <w:rFonts w:cstheme="minorHAnsi"/>
        </w:rPr>
        <w:t>, prekogranični</w:t>
      </w:r>
      <w:r w:rsidR="00987C39">
        <w:rPr>
          <w:rFonts w:cstheme="minorHAnsi"/>
        </w:rPr>
        <w:t xml:space="preserve"> transport onečišćenja</w:t>
      </w:r>
      <w:r w:rsidRPr="00F55281">
        <w:rPr>
          <w:rFonts w:cstheme="minorHAnsi"/>
        </w:rPr>
        <w:t xml:space="preserve"> i drugi izvori 30</w:t>
      </w:r>
      <w:r w:rsidR="00272333">
        <w:rPr>
          <w:rFonts w:cstheme="minorHAnsi"/>
        </w:rPr>
        <w:t> </w:t>
      </w:r>
      <w:r w:rsidRPr="00F55281">
        <w:rPr>
          <w:rFonts w:cstheme="minorHAnsi"/>
        </w:rPr>
        <w:t>%, a industrija (sektor B) 18</w:t>
      </w:r>
      <w:r w:rsidR="00272333">
        <w:rPr>
          <w:rFonts w:cstheme="minorHAnsi"/>
        </w:rPr>
        <w:t> </w:t>
      </w:r>
      <w:r w:rsidRPr="00F55281">
        <w:rPr>
          <w:rFonts w:cstheme="minorHAnsi"/>
        </w:rPr>
        <w:t xml:space="preserve">%. </w:t>
      </w:r>
      <w:r w:rsidR="00272333">
        <w:rPr>
          <w:rFonts w:cstheme="minorHAnsi"/>
        </w:rPr>
        <w:t xml:space="preserve">U danima </w:t>
      </w:r>
      <w:r w:rsidRPr="00F55281">
        <w:rPr>
          <w:rFonts w:cstheme="minorHAnsi"/>
        </w:rPr>
        <w:t xml:space="preserve">prekoračenja granične vrijednosti </w:t>
      </w:r>
      <w:r w:rsidR="00272333">
        <w:rPr>
          <w:rFonts w:cstheme="minorHAnsi"/>
        </w:rPr>
        <w:t>za dnevne koncentracije</w:t>
      </w:r>
      <w:r w:rsidR="00272333" w:rsidRPr="00272333">
        <w:rPr>
          <w:rFonts w:cstheme="minorHAnsi"/>
        </w:rPr>
        <w:t xml:space="preserve"> </w:t>
      </w:r>
      <w:r w:rsidR="00272333" w:rsidRPr="00F55281">
        <w:rPr>
          <w:rFonts w:cstheme="minorHAnsi"/>
        </w:rPr>
        <w:t>PM</w:t>
      </w:r>
      <w:r w:rsidR="00272333" w:rsidRPr="00272333">
        <w:rPr>
          <w:rFonts w:cstheme="minorHAnsi"/>
          <w:vertAlign w:val="subscript"/>
        </w:rPr>
        <w:t>10</w:t>
      </w:r>
      <w:r w:rsidR="00272333">
        <w:rPr>
          <w:rFonts w:cstheme="minorHAnsi"/>
        </w:rPr>
        <w:t xml:space="preserve"> </w:t>
      </w:r>
      <w:r w:rsidRPr="00F55281">
        <w:rPr>
          <w:rFonts w:cstheme="minorHAnsi"/>
        </w:rPr>
        <w:t xml:space="preserve">doprinos malih ložišta raste na oko 51%, što ih čini dominantnim uzrokom prekoračenja. </w:t>
      </w:r>
      <w:r w:rsidR="00272333">
        <w:rPr>
          <w:rFonts w:cstheme="minorHAnsi"/>
        </w:rPr>
        <w:t>Zbog nepovoljnih m</w:t>
      </w:r>
      <w:r w:rsidRPr="00F55281">
        <w:rPr>
          <w:rFonts w:cstheme="minorHAnsi"/>
        </w:rPr>
        <w:t>eteorološki</w:t>
      </w:r>
      <w:r w:rsidR="00272333">
        <w:rPr>
          <w:rFonts w:cstheme="minorHAnsi"/>
        </w:rPr>
        <w:t>h</w:t>
      </w:r>
      <w:r w:rsidRPr="00F55281">
        <w:rPr>
          <w:rFonts w:cstheme="minorHAnsi"/>
        </w:rPr>
        <w:t xml:space="preserve"> </w:t>
      </w:r>
      <w:r w:rsidR="00272333">
        <w:rPr>
          <w:rFonts w:cstheme="minorHAnsi"/>
        </w:rPr>
        <w:t>uvjeta, kao što su prizemne</w:t>
      </w:r>
      <w:r w:rsidRPr="00F55281">
        <w:rPr>
          <w:rFonts w:cstheme="minorHAnsi"/>
        </w:rPr>
        <w:t xml:space="preserve"> temperaturne inverzije u kombinaciji sa slabim vjetrom, u zimskim mjesecima</w:t>
      </w:r>
      <w:r w:rsidR="00272333">
        <w:rPr>
          <w:rFonts w:cstheme="minorHAnsi"/>
        </w:rPr>
        <w:t xml:space="preserve"> dolazi do akumuliranja onečišćenja nad područjem Velike Gorice kao i šireg zagrebačkog područja</w:t>
      </w:r>
      <w:r w:rsidRPr="00F55281">
        <w:rPr>
          <w:rFonts w:cstheme="minorHAnsi"/>
        </w:rPr>
        <w:t xml:space="preserve">. </w:t>
      </w:r>
    </w:p>
    <w:p w14:paraId="3B2B9FCE" w14:textId="139E7469" w:rsidR="00B55C3C" w:rsidRDefault="00B55C3C" w:rsidP="001C48A4">
      <w:pPr>
        <w:jc w:val="both"/>
        <w:rPr>
          <w:rFonts w:cstheme="minorHAnsi"/>
        </w:rPr>
      </w:pPr>
      <w:r w:rsidRPr="00B55C3C">
        <w:rPr>
          <w:rFonts w:cstheme="minorHAnsi"/>
        </w:rPr>
        <w:t>Rezultati mjerenja ukazuju da prirodni izvori mogu imati značajan utjecaj na onečišćenje zraka lebdećim česticama PM</w:t>
      </w:r>
      <w:r w:rsidRPr="00B55C3C">
        <w:rPr>
          <w:rFonts w:cstheme="minorHAnsi"/>
          <w:vertAlign w:val="subscript"/>
        </w:rPr>
        <w:t>10</w:t>
      </w:r>
      <w:r w:rsidRPr="00B55C3C">
        <w:rPr>
          <w:rFonts w:cstheme="minorHAnsi"/>
        </w:rPr>
        <w:t>. Analizom podataka mjerenja u 2024. godini identificirane su tri epizode izuzetno visokih dnevnih koncentracija PM</w:t>
      </w:r>
      <w:r w:rsidRPr="00DA7151">
        <w:rPr>
          <w:rFonts w:cstheme="minorHAnsi"/>
          <w:vertAlign w:val="subscript"/>
        </w:rPr>
        <w:t>10</w:t>
      </w:r>
      <w:r w:rsidRPr="00B55C3C">
        <w:rPr>
          <w:rFonts w:cstheme="minorHAnsi"/>
        </w:rPr>
        <w:t xml:space="preserve">, koje se mogu povezati s daljinskim transportom Saharske prašine, što potvrđuju i rezultati modeliranja u okviru servisa </w:t>
      </w:r>
      <w:proofErr w:type="spellStart"/>
      <w:r w:rsidRPr="00B55C3C">
        <w:rPr>
          <w:rFonts w:cstheme="minorHAnsi"/>
        </w:rPr>
        <w:t>Copernicus</w:t>
      </w:r>
      <w:proofErr w:type="spellEnd"/>
      <w:r w:rsidRPr="00B55C3C">
        <w:rPr>
          <w:rFonts w:cstheme="minorHAnsi"/>
        </w:rPr>
        <w:t>.</w:t>
      </w:r>
    </w:p>
    <w:p w14:paraId="0177A017" w14:textId="0767FB98" w:rsidR="00272333" w:rsidRPr="00272333" w:rsidRDefault="00272333" w:rsidP="001C48A4">
      <w:pPr>
        <w:jc w:val="both"/>
        <w:rPr>
          <w:rFonts w:cstheme="minorHAnsi"/>
        </w:rPr>
      </w:pPr>
      <w:r w:rsidRPr="00272333">
        <w:rPr>
          <w:rFonts w:cstheme="minorHAnsi"/>
        </w:rPr>
        <w:t xml:space="preserve">Akcijskim planom predloženo je šest tehničkih i organizacijskih mjera usmjerenih na smanjenje emisija čestica i </w:t>
      </w:r>
      <w:proofErr w:type="spellStart"/>
      <w:r w:rsidRPr="00272333">
        <w:rPr>
          <w:rFonts w:cstheme="minorHAnsi"/>
        </w:rPr>
        <w:t>benzo</w:t>
      </w:r>
      <w:proofErr w:type="spellEnd"/>
      <w:r w:rsidRPr="00272333">
        <w:rPr>
          <w:rFonts w:cstheme="minorHAnsi"/>
        </w:rPr>
        <w:t>(a)pirena iz kućnih ložišta kao dominantnog lokalnog izvora onečišćenja, te dva istraživačka projekta kao podrška provedbi plana.</w:t>
      </w:r>
    </w:p>
    <w:p w14:paraId="65453FC3" w14:textId="77777777" w:rsidR="00272333" w:rsidRPr="00272333" w:rsidRDefault="00272333" w:rsidP="001C48A4">
      <w:pPr>
        <w:jc w:val="both"/>
        <w:rPr>
          <w:rFonts w:cstheme="minorHAnsi"/>
        </w:rPr>
      </w:pPr>
      <w:r w:rsidRPr="00272333">
        <w:rPr>
          <w:rFonts w:cstheme="minorHAnsi"/>
        </w:rPr>
        <w:t xml:space="preserve">Mjere za smanjenje emisija iz kućanstava su: financijska podrška građanima za zamjenu kotlova i peći na drva dizalicama topline (MK-1), energetska obnova obiteljskih kuća energetskog razreda D ili lošijeg (MK-2), informiranje građana o javnim pozivima za sufinanciranje energetske obnove i korištenja obnovljivih izvora energije (MK-3), informiranje i edukacija javnosti o temama energetske obnove i </w:t>
      </w:r>
      <w:r w:rsidRPr="00272333">
        <w:rPr>
          <w:rFonts w:cstheme="minorHAnsi"/>
        </w:rPr>
        <w:lastRenderedPageBreak/>
        <w:t>energetske učinkovitosti (MK-4), edukacija javnosti o pravilnom korištenju ložišta na biomasu i zabrani spaljivanja otpada (MK-5) te smanjenje emisija iz srednjih uređaja za loženje sukladno obvezama iz Uredbe o graničnim vrijednostima emisija onečišćujućih tvari u zrak iz nepokretnih izvora (NN 42/21) (MK-6).</w:t>
      </w:r>
    </w:p>
    <w:p w14:paraId="2CABF887" w14:textId="4761A26E" w:rsidR="00272333" w:rsidRPr="00272333" w:rsidRDefault="00987C39" w:rsidP="001C48A4">
      <w:pPr>
        <w:jc w:val="both"/>
        <w:rPr>
          <w:rFonts w:cstheme="minorHAnsi"/>
        </w:rPr>
      </w:pPr>
      <w:r>
        <w:rPr>
          <w:rFonts w:cstheme="minorHAnsi"/>
        </w:rPr>
        <w:t>Predloženi i</w:t>
      </w:r>
      <w:r w:rsidR="00272333" w:rsidRPr="00272333">
        <w:rPr>
          <w:rFonts w:cstheme="minorHAnsi"/>
        </w:rPr>
        <w:t>straživački projekti su: izrada katastra malih ložišta za područje Velike Gorice metodologijom „odozdo prema gore" (IP-1) te korekcija dnevnih koncentracija PM10 s obzirom na doprinos prirodnih izvora, ponajprije Saharske prašine (IP-2).</w:t>
      </w:r>
    </w:p>
    <w:p w14:paraId="36C866F8" w14:textId="07A14203" w:rsidR="004D0380" w:rsidRPr="004D0380" w:rsidRDefault="004D0380" w:rsidP="001C48A4">
      <w:pPr>
        <w:jc w:val="both"/>
        <w:rPr>
          <w:rFonts w:cstheme="minorHAnsi"/>
        </w:rPr>
      </w:pPr>
      <w:r w:rsidRPr="004D0380">
        <w:rPr>
          <w:rFonts w:cstheme="minorHAnsi"/>
        </w:rPr>
        <w:t xml:space="preserve">Mjere MK-1 do MK-5 predviđene su kao kontinuirane, bez definiranog krajnjeg roka provedbe, dok se mjera MK-6 provodi sukladno rokovima propisanim Uredbom, to jest do 1. siječnja 2025. za uređaje toplinske snage veće od 5 MW, a do 1. siječnja 2030. za uređaje do 5 MW. Istraživački projekt IP-1 planiran je za razdoblje 2026.-2027., a projekt IP-2 je kontinuiran i ovisi o planovima nadležnih tijela (Ministarstva i DHMZ-a). Nositelji mjera su Grad Velika Gorica za organizacijske i informacijske mjere, Fond za zaštitu okoliša i energetsku učinkovitost za mjere energetske obnove, operateri postrojenja za MK-6, te nadležno Ministarstvo i DHMZ za projekt IP-2. </w:t>
      </w:r>
    </w:p>
    <w:p w14:paraId="088ECAFA" w14:textId="31DA85AD" w:rsidR="00195B2F" w:rsidRPr="00F55281" w:rsidRDefault="004D0380" w:rsidP="001C48A4">
      <w:pPr>
        <w:jc w:val="both"/>
        <w:rPr>
          <w:rFonts w:cstheme="minorHAnsi"/>
        </w:rPr>
      </w:pPr>
      <w:r w:rsidRPr="004D0380">
        <w:rPr>
          <w:rFonts w:cstheme="minorHAnsi"/>
        </w:rPr>
        <w:t>Zbog položaja Velike Gorice unutar aglomeracije Zagreb i dominantnog utjecaja emisija s područja Grada Zagreba, kao i zbog prekograničnog transporta onečišćenja i prirodnih izvora poput Saharske prašine, značajnije smanjenje koncentracija PM</w:t>
      </w:r>
      <w:r w:rsidRPr="00987C39">
        <w:rPr>
          <w:rFonts w:cstheme="minorHAnsi"/>
          <w:vertAlign w:val="subscript"/>
        </w:rPr>
        <w:t>10</w:t>
      </w:r>
      <w:r w:rsidRPr="004D0380">
        <w:rPr>
          <w:rFonts w:cstheme="minorHAnsi"/>
        </w:rPr>
        <w:t xml:space="preserve"> isključivo lokalnim mjerama nije realno. Podaci modeliranja pokazuju da su specifične emisije čestica PM</w:t>
      </w:r>
      <w:r w:rsidRPr="00987C39">
        <w:rPr>
          <w:rFonts w:cstheme="minorHAnsi"/>
          <w:vertAlign w:val="subscript"/>
        </w:rPr>
        <w:t>10</w:t>
      </w:r>
      <w:r w:rsidRPr="004D0380">
        <w:rPr>
          <w:rFonts w:cstheme="minorHAnsi"/>
        </w:rPr>
        <w:t xml:space="preserve"> na području Velike Gorice višestruko manje od onih na području Grada Zagreba koji se pruža sjeverno i zapadno od Velike Gorice. Visoka korelacija dnevnih koncentracija izmjerenih na postaji Međunarodna zračna luka Zagreb i postaji Zagreb-3, udaljenoj svega 6 km, potvrđuje prevladavajući regionalni karakter onečišćenja. Stoga se akcijskim planom ne utvrđuje konkretan rok za postizanje prve kategorije kvalitete zraka, već se predloženim mjerama nastoji pridonijeti smanjenju lokalnog udjela u ukupnom onečišćenju, uz napomenu da je odlučujući uvjet za trajno postizanje granične vrijednosti sustavno smanjenje emisija na razini čitave aglomeracije HR ZG.</w:t>
      </w:r>
    </w:p>
    <w:p w14:paraId="6842FE3E" w14:textId="77777777" w:rsidR="00EF7F5F" w:rsidRPr="00F55281" w:rsidRDefault="00EF7F5F" w:rsidP="00EF7F5F">
      <w:pPr>
        <w:jc w:val="center"/>
        <w:rPr>
          <w:rFonts w:cstheme="minorHAnsi"/>
        </w:rPr>
      </w:pPr>
    </w:p>
    <w:sectPr w:rsidR="00EF7F5F" w:rsidRPr="00F552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C9B21" w14:textId="77777777" w:rsidR="00294C36" w:rsidRDefault="00294C36" w:rsidP="00F55281">
      <w:pPr>
        <w:spacing w:after="0" w:line="240" w:lineRule="auto"/>
      </w:pPr>
      <w:r>
        <w:separator/>
      </w:r>
    </w:p>
  </w:endnote>
  <w:endnote w:type="continuationSeparator" w:id="0">
    <w:p w14:paraId="0BA70DDD" w14:textId="77777777" w:rsidR="00294C36" w:rsidRDefault="00294C36" w:rsidP="00F55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7700B" w14:textId="77777777" w:rsidR="00294C36" w:rsidRDefault="00294C36" w:rsidP="00F55281">
      <w:pPr>
        <w:spacing w:after="0" w:line="240" w:lineRule="auto"/>
      </w:pPr>
      <w:r>
        <w:separator/>
      </w:r>
    </w:p>
  </w:footnote>
  <w:footnote w:type="continuationSeparator" w:id="0">
    <w:p w14:paraId="3EA94640" w14:textId="77777777" w:rsidR="00294C36" w:rsidRDefault="00294C36" w:rsidP="00F55281">
      <w:pPr>
        <w:spacing w:after="0" w:line="240" w:lineRule="auto"/>
      </w:pPr>
      <w:r>
        <w:continuationSeparator/>
      </w:r>
    </w:p>
  </w:footnote>
  <w:footnote w:id="1">
    <w:p w14:paraId="690FAFA1" w14:textId="4231ACF8" w:rsidR="00987C39" w:rsidRPr="00987C39" w:rsidRDefault="00987C39">
      <w:pPr>
        <w:pStyle w:val="Tekstfusnote"/>
        <w:rPr>
          <w:rFonts w:asciiTheme="minorHAnsi" w:hAnsiTheme="minorHAnsi" w:cstheme="minorHAnsi"/>
        </w:rPr>
      </w:pPr>
      <w:r>
        <w:rPr>
          <w:rStyle w:val="Referencafusnote"/>
        </w:rPr>
        <w:footnoteRef/>
      </w:r>
      <w:r>
        <w:t xml:space="preserve"> </w:t>
      </w:r>
      <w:r w:rsidRPr="00987C39">
        <w:rPr>
          <w:rFonts w:asciiTheme="minorHAnsi" w:hAnsiTheme="minorHAnsi" w:cstheme="minorHAnsi"/>
        </w:rPr>
        <w:t>Sukladno Uredbi o određivanju zona i aglomeracija prema razinama onečišćenosti zraka na teritoriju Republike Hrvatske (NN 1/14) Grad Velika Gorica pripada aglomeraciji Zagreb (oznaka HR ZG), zajedno sa Gradom Zagrebom i jedinicama lokalne samouprave: Grad Dugo Selo, Grad Samobor, Grad Sveta Nedjelja te Grad Zaprešić.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10E5B"/>
    <w:multiLevelType w:val="hybridMultilevel"/>
    <w:tmpl w:val="CAD611BC"/>
    <w:lvl w:ilvl="0" w:tplc="2E028BA2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F5F"/>
    <w:rsid w:val="00046C4F"/>
    <w:rsid w:val="000515C0"/>
    <w:rsid w:val="00064BB0"/>
    <w:rsid w:val="000C6D2E"/>
    <w:rsid w:val="000F3332"/>
    <w:rsid w:val="00137447"/>
    <w:rsid w:val="00142392"/>
    <w:rsid w:val="00163FB9"/>
    <w:rsid w:val="00181EDE"/>
    <w:rsid w:val="00195B2F"/>
    <w:rsid w:val="001C48A4"/>
    <w:rsid w:val="001C7088"/>
    <w:rsid w:val="001E4758"/>
    <w:rsid w:val="001E4A73"/>
    <w:rsid w:val="0022164E"/>
    <w:rsid w:val="00223523"/>
    <w:rsid w:val="00237034"/>
    <w:rsid w:val="00244F17"/>
    <w:rsid w:val="00272333"/>
    <w:rsid w:val="00294C36"/>
    <w:rsid w:val="002B0451"/>
    <w:rsid w:val="002C6AB9"/>
    <w:rsid w:val="002F30D1"/>
    <w:rsid w:val="00306517"/>
    <w:rsid w:val="00315A3D"/>
    <w:rsid w:val="00347372"/>
    <w:rsid w:val="003931AA"/>
    <w:rsid w:val="003A02AC"/>
    <w:rsid w:val="003B4661"/>
    <w:rsid w:val="00406514"/>
    <w:rsid w:val="00413E0E"/>
    <w:rsid w:val="0042314B"/>
    <w:rsid w:val="00426B00"/>
    <w:rsid w:val="00460521"/>
    <w:rsid w:val="0046106B"/>
    <w:rsid w:val="00462F0B"/>
    <w:rsid w:val="00477905"/>
    <w:rsid w:val="004D0380"/>
    <w:rsid w:val="004F6AA9"/>
    <w:rsid w:val="00507FDA"/>
    <w:rsid w:val="00510640"/>
    <w:rsid w:val="005145C4"/>
    <w:rsid w:val="005303A2"/>
    <w:rsid w:val="00565BB5"/>
    <w:rsid w:val="00593D35"/>
    <w:rsid w:val="005F0731"/>
    <w:rsid w:val="00611CE8"/>
    <w:rsid w:val="00661E33"/>
    <w:rsid w:val="00672470"/>
    <w:rsid w:val="006A2E82"/>
    <w:rsid w:val="006C6797"/>
    <w:rsid w:val="006D22DC"/>
    <w:rsid w:val="006D44DB"/>
    <w:rsid w:val="007133E3"/>
    <w:rsid w:val="0072117C"/>
    <w:rsid w:val="007337A5"/>
    <w:rsid w:val="007600AD"/>
    <w:rsid w:val="00761695"/>
    <w:rsid w:val="00776981"/>
    <w:rsid w:val="00780965"/>
    <w:rsid w:val="00785FDA"/>
    <w:rsid w:val="007B049B"/>
    <w:rsid w:val="007B477D"/>
    <w:rsid w:val="007E37BD"/>
    <w:rsid w:val="007F0F6A"/>
    <w:rsid w:val="00812964"/>
    <w:rsid w:val="008148DF"/>
    <w:rsid w:val="00861F87"/>
    <w:rsid w:val="0088372C"/>
    <w:rsid w:val="008B2F88"/>
    <w:rsid w:val="008C2F93"/>
    <w:rsid w:val="008C40E4"/>
    <w:rsid w:val="008E5F65"/>
    <w:rsid w:val="00973D35"/>
    <w:rsid w:val="00987C39"/>
    <w:rsid w:val="009949B8"/>
    <w:rsid w:val="009B1C05"/>
    <w:rsid w:val="00A20178"/>
    <w:rsid w:val="00A8569E"/>
    <w:rsid w:val="00AA7F0B"/>
    <w:rsid w:val="00AA7F31"/>
    <w:rsid w:val="00AB1C49"/>
    <w:rsid w:val="00B06A25"/>
    <w:rsid w:val="00B1103E"/>
    <w:rsid w:val="00B12800"/>
    <w:rsid w:val="00B13523"/>
    <w:rsid w:val="00B35E3E"/>
    <w:rsid w:val="00B46293"/>
    <w:rsid w:val="00B55C3C"/>
    <w:rsid w:val="00B6449E"/>
    <w:rsid w:val="00B76FBB"/>
    <w:rsid w:val="00BB2DAC"/>
    <w:rsid w:val="00BC5906"/>
    <w:rsid w:val="00C14766"/>
    <w:rsid w:val="00C20086"/>
    <w:rsid w:val="00C86383"/>
    <w:rsid w:val="00CB19BB"/>
    <w:rsid w:val="00CB2C2D"/>
    <w:rsid w:val="00CF6366"/>
    <w:rsid w:val="00D019AE"/>
    <w:rsid w:val="00D17046"/>
    <w:rsid w:val="00D524C8"/>
    <w:rsid w:val="00D712A6"/>
    <w:rsid w:val="00D94689"/>
    <w:rsid w:val="00DA7151"/>
    <w:rsid w:val="00DF44FC"/>
    <w:rsid w:val="00DF7F64"/>
    <w:rsid w:val="00E02F01"/>
    <w:rsid w:val="00E55423"/>
    <w:rsid w:val="00E70B48"/>
    <w:rsid w:val="00E775AD"/>
    <w:rsid w:val="00E93652"/>
    <w:rsid w:val="00EA7977"/>
    <w:rsid w:val="00ED3913"/>
    <w:rsid w:val="00EE4901"/>
    <w:rsid w:val="00EF0222"/>
    <w:rsid w:val="00EF24B6"/>
    <w:rsid w:val="00EF7F5F"/>
    <w:rsid w:val="00F350BE"/>
    <w:rsid w:val="00F439BB"/>
    <w:rsid w:val="00F55281"/>
    <w:rsid w:val="00F67D1C"/>
    <w:rsid w:val="00F803DA"/>
    <w:rsid w:val="00F94023"/>
    <w:rsid w:val="00FA3D14"/>
    <w:rsid w:val="00FB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F64BD"/>
  <w15:docId w15:val="{60D5E8D5-42CB-4807-9596-4FF3A000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33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812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812964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195B2F"/>
    <w:rPr>
      <w:color w:val="808080"/>
    </w:rPr>
  </w:style>
  <w:style w:type="character" w:styleId="Hiperveza">
    <w:name w:val="Hyperlink"/>
    <w:basedOn w:val="Zadanifontodlomka"/>
    <w:uiPriority w:val="99"/>
    <w:unhideWhenUsed/>
    <w:rsid w:val="00195B2F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95B2F"/>
    <w:rPr>
      <w:color w:val="605E5C"/>
      <w:shd w:val="clear" w:color="auto" w:fill="E1DFDD"/>
    </w:rPr>
  </w:style>
  <w:style w:type="paragraph" w:styleId="Bezproreda">
    <w:name w:val="No Spacing"/>
    <w:uiPriority w:val="99"/>
    <w:qFormat/>
    <w:rsid w:val="00E02F01"/>
    <w:pPr>
      <w:spacing w:after="0" w:line="240" w:lineRule="auto"/>
    </w:pPr>
    <w:rPr>
      <w:rFonts w:ascii="Calibri" w:eastAsia="Calibri" w:hAnsi="Calibri" w:cs="Times New Roman"/>
    </w:rPr>
  </w:style>
  <w:style w:type="paragraph" w:styleId="Tekstfusnote">
    <w:name w:val="footnote text"/>
    <w:aliases w:val="Footnote,Footnote Char Char,Footnote Text1,fn,- OP,Fußnote,Podrozdział,Fußnotentextf,Footnote Text Char Char,single space,footnote text,FOOTNOTES,stile 1,Footnote1,Footnote2,Footnote3,Footnote4,Footnote5,Footnote6,Footnote7"/>
    <w:basedOn w:val="Normal"/>
    <w:link w:val="TekstfusnoteChar"/>
    <w:uiPriority w:val="99"/>
    <w:qFormat/>
    <w:rsid w:val="00F55281"/>
    <w:pPr>
      <w:spacing w:after="120" w:line="220" w:lineRule="exact"/>
      <w:jc w:val="both"/>
    </w:pPr>
    <w:rPr>
      <w:rFonts w:ascii="Arial" w:eastAsia="Times New Roman" w:hAnsi="Arial" w:cs="Times New Roman"/>
      <w:sz w:val="18"/>
      <w:szCs w:val="20"/>
      <w:lang w:eastAsia="hr-HR"/>
    </w:rPr>
  </w:style>
  <w:style w:type="character" w:customStyle="1" w:styleId="TekstfusnoteChar">
    <w:name w:val="Tekst fusnote Char"/>
    <w:aliases w:val="Footnote Char,Footnote Char Char Char,Footnote Text1 Char,fn Char,- OP Char,Fußnote Char,Podrozdział Char,Fußnotentextf Char,Footnote Text Char Char Char,single space Char,footnote text Char,FOOTNOTES Char,stile 1 Char,Footnote1 Char"/>
    <w:basedOn w:val="Zadanifontodlomka"/>
    <w:link w:val="Tekstfusnote"/>
    <w:uiPriority w:val="99"/>
    <w:rsid w:val="00F55281"/>
    <w:rPr>
      <w:rFonts w:ascii="Arial" w:eastAsia="Times New Roman" w:hAnsi="Arial" w:cs="Times New Roman"/>
      <w:sz w:val="18"/>
      <w:szCs w:val="20"/>
      <w:lang w:eastAsia="hr-HR"/>
    </w:rPr>
  </w:style>
  <w:style w:type="character" w:styleId="Referencafusnote">
    <w:name w:val="footnote reference"/>
    <w:aliases w:val="number,SUPERS,Footnote Reference Superscript,stylish,Footnote symbol,16 Point,Superscript 6 Point,-E Fußnotenzeichen,Footnote reference number,note TESI,ftref,-E Fußnotenzeichen1,-E Fußnotenzeichen2,-E Fußnotenzeichen3,Fussnota"/>
    <w:uiPriority w:val="99"/>
    <w:qFormat/>
    <w:rsid w:val="00F55281"/>
    <w:rPr>
      <w:vertAlign w:val="superscript"/>
    </w:rPr>
  </w:style>
  <w:style w:type="paragraph" w:customStyle="1" w:styleId="mojTekst">
    <w:name w:val="mojTekst"/>
    <w:link w:val="mojTekstChar"/>
    <w:qFormat/>
    <w:rsid w:val="00F55281"/>
    <w:pPr>
      <w:spacing w:after="0" w:line="300" w:lineRule="exact"/>
      <w:jc w:val="both"/>
    </w:pPr>
    <w:rPr>
      <w:rFonts w:ascii="Arial" w:eastAsia="Times New Roman" w:hAnsi="Arial" w:cs="Times New Roman"/>
      <w:lang w:eastAsia="hr-HR"/>
    </w:rPr>
  </w:style>
  <w:style w:type="character" w:customStyle="1" w:styleId="mojTekstChar">
    <w:name w:val="mojTekst Char"/>
    <w:link w:val="mojTekst"/>
    <w:rsid w:val="00F55281"/>
    <w:rPr>
      <w:rFonts w:ascii="Arial" w:eastAsia="Times New Roman" w:hAnsi="Arial" w:cs="Times New Roman"/>
      <w:lang w:eastAsia="hr-HR"/>
    </w:rPr>
  </w:style>
  <w:style w:type="paragraph" w:styleId="Odlomakpopisa">
    <w:name w:val="List Paragraph"/>
    <w:basedOn w:val="Normal"/>
    <w:uiPriority w:val="34"/>
    <w:qFormat/>
    <w:rsid w:val="00F552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6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CDE88-ED87-477F-B87A-1CA888F76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1292</Words>
  <Characters>7369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Studija opravdanosti davanja koncesije za distribuciju toplinske energije</vt:lpstr>
      <vt:lpstr>Studija opravdanosti davanja koncesije za distribuciju toplinske energije</vt:lpstr>
    </vt:vector>
  </TitlesOfParts>
  <Company>Hewlett-Packard Company</Company>
  <LinksUpToDate>false</LinksUpToDate>
  <CharactersWithSpaces>8644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Studija opravdanosti davanja koncesije za distribuciju toplinske energije</dc:title>
  <dc:creator>User 1</dc:creator>
  <cp:lastModifiedBy>Gordana</cp:lastModifiedBy>
  <cp:revision>2</cp:revision>
  <dcterms:created xsi:type="dcterms:W3CDTF">2026-06-12T16:44:00Z</dcterms:created>
  <dcterms:modified xsi:type="dcterms:W3CDTF">2026-06-12T16:44:00Z</dcterms:modified>
</cp:coreProperties>
</file>